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6"/>
        <w:tabs>
          <w:tab w:val="right" w:pos="9639"/>
        </w:tabs>
        <w:spacing w:after="0"/>
        <w:rPr>
          <w:b/>
          <w:sz w:val="28"/>
          <w:szCs w:val="28"/>
        </w:rPr>
      </w:pPr>
      <w:bookmarkStart w:id="0" w:name="_Hlk527628066"/>
      <w:bookmarkStart w:id="1" w:name="_Toc44497281"/>
      <w:bookmarkStart w:id="2" w:name="_Toc98867944"/>
      <w:bookmarkStart w:id="3" w:name="_Toc56693371"/>
      <w:bookmarkStart w:id="4" w:name="_Toc45107669"/>
      <w:bookmarkStart w:id="5" w:name="_Toc74151103"/>
      <w:bookmarkStart w:id="6" w:name="_Toc97903931"/>
      <w:bookmarkStart w:id="7" w:name="_Toc51850368"/>
      <w:bookmarkStart w:id="8" w:name="_Toc29991218"/>
      <w:bookmarkStart w:id="9" w:name="_Toc66286408"/>
      <w:bookmarkStart w:id="10" w:name="_Toc45901289"/>
      <w:bookmarkStart w:id="11" w:name="_Toc64446914"/>
      <w:bookmarkStart w:id="12" w:name="_Toc88653575"/>
      <w:bookmarkStart w:id="13" w:name="_Toc36555618"/>
      <w:bookmarkStart w:id="14" w:name="_Toc20955031"/>
      <w:r>
        <w:rPr>
          <w:b/>
          <w:sz w:val="24"/>
          <w:szCs w:val="28"/>
        </w:rPr>
        <w:t>3GPP TSG-RAN WG3 Meeting #116-e</w:t>
      </w:r>
      <w:r>
        <w:rPr>
          <w:b/>
          <w:i/>
          <w:sz w:val="24"/>
          <w:szCs w:val="28"/>
        </w:rPr>
        <w:tab/>
      </w:r>
      <w:bookmarkStart w:id="46" w:name="_GoBack"/>
      <w:r>
        <w:rPr>
          <w:b/>
          <w:sz w:val="28"/>
          <w:szCs w:val="28"/>
        </w:rPr>
        <w:t>R3-223808</w:t>
      </w:r>
      <w:bookmarkEnd w:id="46"/>
    </w:p>
    <w:p>
      <w:pPr>
        <w:pStyle w:val="96"/>
        <w:outlineLvl w:val="0"/>
        <w:rPr>
          <w:b/>
          <w:sz w:val="24"/>
          <w:szCs w:val="28"/>
        </w:rPr>
      </w:pPr>
      <w:r>
        <w:rPr>
          <w:b/>
          <w:sz w:val="24"/>
          <w:szCs w:val="28"/>
        </w:rPr>
        <w:t>Online, May 9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– 19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2022</w:t>
      </w:r>
      <w:bookmarkEnd w:id="0"/>
    </w:p>
    <w:tbl>
      <w:tblPr>
        <w:tblStyle w:val="41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6"/>
              <w:spacing w:after="0"/>
              <w:jc w:val="right"/>
              <w:rPr>
                <w:rFonts w:hint="eastAsia"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6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38.470</w:t>
            </w:r>
          </w:p>
        </w:tc>
        <w:tc>
          <w:tcPr>
            <w:tcW w:w="709" w:type="dxa"/>
          </w:tcPr>
          <w:p>
            <w:pPr>
              <w:pStyle w:val="9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6"/>
              <w:spacing w:after="0"/>
              <w:jc w:val="center"/>
            </w:pPr>
            <w:r>
              <w:rPr>
                <w:b/>
                <w:sz w:val="28"/>
              </w:rPr>
              <w:t>0100</w:t>
            </w:r>
          </w:p>
        </w:tc>
        <w:tc>
          <w:tcPr>
            <w:tcW w:w="709" w:type="dxa"/>
          </w:tcPr>
          <w:p>
            <w:pPr>
              <w:pStyle w:val="9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6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9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6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9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96"/>
              <w:spacing w:after="0"/>
              <w:jc w:val="center"/>
              <w:rPr>
                <w:i/>
              </w:rPr>
            </w:pPr>
            <w:r>
              <w:rPr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3"/>
                <w:b/>
                <w:i/>
                <w:color w:val="FF0000"/>
              </w:rPr>
              <w:t>HELP</w:t>
            </w:r>
            <w:r>
              <w:rPr>
                <w:rStyle w:val="43"/>
                <w:b/>
                <w:i/>
                <w:color w:val="FF0000"/>
              </w:rPr>
              <w:fldChar w:fldCharType="end"/>
            </w:r>
            <w:r>
              <w:rPr>
                <w:b/>
                <w:i/>
                <w:color w:val="FF0000"/>
              </w:rPr>
              <w:t xml:space="preserve"> </w:t>
            </w:r>
            <w:r>
              <w:rPr>
                <w:i/>
              </w:rPr>
              <w:t xml:space="preserve">on using this form: comprehensive instructions can be found at </w:t>
            </w:r>
            <w:r>
              <w:rPr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3"/>
                <w:i/>
              </w:rPr>
              <w:t>http://www.3gpp.org/Change-Requests</w:t>
            </w:r>
            <w:r>
              <w:rPr>
                <w:rStyle w:val="43"/>
                <w:i/>
              </w:rPr>
              <w:fldChar w:fldCharType="end"/>
            </w:r>
            <w:r>
              <w:rPr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6"/>
              <w:spacing w:after="0"/>
              <w:rPr>
                <w:rFonts w:cs="Times New Roman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</w:tcPr>
          <w:p>
            <w:pPr>
              <w:pStyle w:val="9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100"/>
            </w:pPr>
            <w:r>
              <w:t>IAB Rel-17 Corrections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100"/>
            </w:pPr>
            <w:r>
              <w:t>ZTE, 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100"/>
            </w:pPr>
            <w:r>
              <w:t>RAN3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6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NR_IAB_enh</w:t>
            </w:r>
            <w:r>
              <w:fldChar w:fldCharType="end"/>
            </w:r>
            <w:r>
              <w:rPr>
                <w:lang w:val="en-US" w:eastAsia="zh-CN"/>
              </w:rPr>
              <w:t>-Core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</w:p>
        </w:tc>
        <w:tc>
          <w:tcPr>
            <w:tcW w:w="567" w:type="dxa"/>
          </w:tcPr>
          <w:p>
            <w:pPr>
              <w:pStyle w:val="96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>
            <w:pPr>
              <w:pStyle w:val="9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100"/>
            </w:pPr>
            <w:r>
              <w:t>2022-05-19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6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</w:tcPr>
          <w:p>
            <w:pPr>
              <w:pStyle w:val="96"/>
              <w:spacing w:after="0"/>
            </w:pPr>
          </w:p>
        </w:tc>
        <w:tc>
          <w:tcPr>
            <w:tcW w:w="1417" w:type="dxa"/>
            <w:gridSpan w:val="3"/>
          </w:tcPr>
          <w:p>
            <w:pPr>
              <w:pStyle w:val="9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9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9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3"/>
                <w:sz w:val="18"/>
              </w:rPr>
              <w:t>TR 21.900</w:t>
            </w:r>
            <w:r>
              <w:rPr>
                <w:rStyle w:val="4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</w:pPr>
            <w:r>
              <w:t>Redundant, incomplete and incorrect text in 5.2.12.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</w:pPr>
            <w:r>
              <w:t>Merged merged the CR in R3-223297 and R3-223118, see below for details.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96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rPr>
                <w:highlight w:val="yellow"/>
              </w:rPr>
            </w:pPr>
            <w:r>
              <w:t>Unclear, redundant and incorrect specification text.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6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</w:pPr>
            <w:r>
              <w:t>5.2.12.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9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jc w:val="center"/>
              <w:rPr>
                <w:rFonts w:ascii="Arial" w:hAnsi="Arial" w:cs="Arial"/>
                <w:b/>
                <w:caps/>
              </w:rPr>
            </w:pPr>
            <w:r>
              <w:rPr>
                <w:rFonts w:ascii="Arial" w:hAnsi="Arial" w:cs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99"/>
              <w:rPr>
                <w:highlight w:val="yello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9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9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</w:t>
            </w:r>
            <w:r>
              <w:rPr>
                <w:rFonts w:hint="eastAsia" w:eastAsia="宋体"/>
                <w:lang w:val="en-US" w:eastAsia="zh-CN"/>
              </w:rPr>
              <w:t>v -: R3-223731</w:t>
            </w:r>
          </w:p>
          <w:p>
            <w:pPr>
              <w:pStyle w:val="96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the </w:t>
            </w:r>
            <w:r>
              <w:rPr>
                <w:rFonts w:hint="eastAsia"/>
                <w:lang w:val="en-US" w:eastAsia="zh-CN"/>
              </w:rPr>
              <w:t>description for the support of IAB support function</w:t>
            </w:r>
            <w:r>
              <w:rPr>
                <w:lang w:val="en-US" w:eastAsia="zh-CN"/>
              </w:rPr>
              <w:t>.</w:t>
            </w:r>
          </w:p>
          <w:p>
            <w:pPr>
              <w:pStyle w:val="96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 1</w:t>
            </w:r>
            <w:r>
              <w:rPr>
                <w:rFonts w:hint="eastAsia"/>
                <w:lang w:val="en-US" w:eastAsia="zh-CN"/>
              </w:rPr>
              <w:t>:</w:t>
            </w:r>
          </w:p>
          <w:p>
            <w:pPr>
              <w:pStyle w:val="96"/>
              <w:numPr>
                <w:ilvl w:val="0"/>
                <w:numId w:val="2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Fix the </w:t>
            </w:r>
            <w:r>
              <w:rPr>
                <w:rFonts w:hint="default" w:eastAsia="宋体"/>
                <w:lang w:val="en-US" w:eastAsia="zh-CN"/>
              </w:rPr>
              <w:t>changes on changes</w:t>
            </w:r>
          </w:p>
          <w:p>
            <w:pPr>
              <w:pStyle w:val="96"/>
              <w:numPr>
                <w:ilvl w:val="0"/>
                <w:numId w:val="2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Replace</w:t>
            </w:r>
            <w:r>
              <w:rPr>
                <w:rFonts w:hint="default" w:eastAsia="宋体"/>
                <w:lang w:val="en-US" w:eastAsia="zh-CN"/>
              </w:rPr>
              <w:t xml:space="preserve"> ‘collocated’ </w:t>
            </w:r>
            <w:r>
              <w:rPr>
                <w:rFonts w:hint="eastAsia" w:eastAsia="宋体"/>
                <w:lang w:val="en-US" w:eastAsia="zh-CN"/>
              </w:rPr>
              <w:t>with</w:t>
            </w:r>
            <w:r>
              <w:rPr>
                <w:rFonts w:hint="default" w:eastAsia="宋体"/>
                <w:lang w:val="en-US" w:eastAsia="zh-CN"/>
              </w:rPr>
              <w:t xml:space="preserve"> ‘co-located’</w:t>
            </w:r>
          </w:p>
          <w:p>
            <w:pPr>
              <w:pStyle w:val="96"/>
              <w:numPr>
                <w:ilvl w:val="0"/>
                <w:numId w:val="2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In the added sentence for donor DU, replace ‘other’ with ‘the’.</w:t>
            </w:r>
          </w:p>
          <w:p>
            <w:pPr>
              <w:pStyle w:val="96"/>
              <w:spacing w:after="0"/>
              <w:ind w:left="100"/>
              <w:rPr>
                <w:rFonts w:hint="eastAsia"/>
                <w:lang w:val="en-US" w:eastAsia="zh-CN"/>
              </w:rPr>
            </w:pPr>
          </w:p>
          <w:p>
            <w:pPr>
              <w:pStyle w:val="96"/>
              <w:spacing w:after="0"/>
            </w:pP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tbl>
    <w:p/>
    <w:p/>
    <w:p/>
    <w:p/>
    <w:p/>
    <w:p/>
    <w:p/>
    <w:p/>
    <w:p/>
    <w:p>
      <w:pPr>
        <w:jc w:val="center"/>
      </w:pPr>
      <w:bookmarkStart w:id="15" w:name="_Toc98932580"/>
      <w:bookmarkStart w:id="16" w:name="_Toc36556401"/>
      <w:bookmarkStart w:id="17" w:name="_Toc29392999"/>
      <w:bookmarkStart w:id="18" w:name="_Toc13920083"/>
      <w:bookmarkStart w:id="19" w:name="_Toc64448122"/>
      <w:bookmarkStart w:id="20" w:name="_Toc74152918"/>
      <w:bookmarkStart w:id="21" w:name="_Toc97909414"/>
      <w:bookmarkStart w:id="22" w:name="_Toc29393047"/>
      <w:bookmarkStart w:id="23" w:name="_Toc45833065"/>
      <w:r>
        <w:rPr>
          <w:highlight w:val="yellow"/>
        </w:rPr>
        <w:t>-------------------------------------------Start of changes-------------------------------------------</w:t>
      </w:r>
    </w:p>
    <w:p>
      <w:pPr>
        <w:pStyle w:val="2"/>
      </w:pPr>
      <w:r>
        <w:t>5</w:t>
      </w:r>
      <w:r>
        <w:tab/>
      </w:r>
      <w:r>
        <w:t>Functions of the F1 interface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>
      <w:pPr>
        <w:pStyle w:val="3"/>
        <w:rPr>
          <w:lang w:eastAsia="ja-JP"/>
        </w:rPr>
      </w:pPr>
      <w:bookmarkStart w:id="24" w:name="_Toc36556402"/>
      <w:bookmarkStart w:id="25" w:name="_Toc29393000"/>
      <w:bookmarkStart w:id="26" w:name="_Toc45833066"/>
      <w:bookmarkStart w:id="27" w:name="_Toc97909415"/>
      <w:bookmarkStart w:id="28" w:name="_Toc98932581"/>
      <w:bookmarkStart w:id="29" w:name="_Toc74152919"/>
      <w:bookmarkStart w:id="30" w:name="_Toc64448123"/>
      <w:bookmarkStart w:id="31" w:name="_Toc13920084"/>
      <w:bookmarkStart w:id="32" w:name="_Toc29393048"/>
      <w:r>
        <w:t>5.1</w:t>
      </w:r>
      <w:r>
        <w:tab/>
      </w:r>
      <w:r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r>
        <w:t xml:space="preserve">The following clauses describe the functions supported over F1-C and F1-U. </w:t>
      </w:r>
    </w:p>
    <w:p>
      <w:pPr>
        <w:pStyle w:val="3"/>
      </w:pPr>
      <w:bookmarkStart w:id="33" w:name="_Toc64448124"/>
      <w:bookmarkStart w:id="34" w:name="_Toc45833067"/>
      <w:bookmarkStart w:id="35" w:name="_Toc36556403"/>
      <w:bookmarkStart w:id="36" w:name="_Toc98932582"/>
      <w:bookmarkStart w:id="37" w:name="_Toc97909416"/>
      <w:bookmarkStart w:id="38" w:name="_Toc29393001"/>
      <w:bookmarkStart w:id="39" w:name="_Toc13920085"/>
      <w:bookmarkStart w:id="40" w:name="_Toc29393049"/>
      <w:bookmarkStart w:id="41" w:name="_Toc74152920"/>
      <w:r>
        <w:t>5.2</w:t>
      </w:r>
      <w:r>
        <w:tab/>
      </w:r>
      <w:r>
        <w:t>F1-C functions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>
      <w:pPr>
        <w:pStyle w:val="4"/>
        <w:rPr>
          <w:rFonts w:hint="eastAsia"/>
          <w:lang w:eastAsia="zh-CN"/>
        </w:rPr>
      </w:pPr>
      <w:bookmarkStart w:id="42" w:name="_Toc98932594"/>
      <w:bookmarkStart w:id="43" w:name="_Toc97909428"/>
      <w:bookmarkStart w:id="44" w:name="_Toc64448136"/>
      <w:bookmarkStart w:id="45" w:name="_Toc74152932"/>
      <w:r>
        <w:t>5.2.12</w:t>
      </w:r>
      <w:r>
        <w:rPr>
          <w:rFonts w:hint="eastAsia"/>
          <w:lang w:val="en-US" w:eastAsia="zh-CN"/>
        </w:rPr>
        <w:tab/>
      </w:r>
      <w:r>
        <w:t>IAB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support </w:t>
      </w:r>
      <w:r>
        <w:rPr>
          <w:rFonts w:hint="eastAsia"/>
          <w:lang w:eastAsia="zh-CN"/>
        </w:rPr>
        <w:t>function</w:t>
      </w:r>
      <w:bookmarkEnd w:id="42"/>
      <w:bookmarkEnd w:id="43"/>
      <w:bookmarkEnd w:id="44"/>
      <w:bookmarkEnd w:id="45"/>
    </w:p>
    <w:p>
      <w:pPr>
        <w:rPr>
          <w:ins w:id="0" w:author="author" w:date="2022-05-12T20:42:41Z"/>
        </w:rPr>
      </w:pPr>
      <w:ins w:id="1" w:author="author" w:date="2022-05-12T20:42:41Z">
        <w:r>
          <w:rPr/>
          <w:t>The support for IAB comprises several functions.</w:t>
        </w:r>
      </w:ins>
    </w:p>
    <w:p>
      <w:pPr>
        <w:rPr>
          <w:rFonts w:hint="default"/>
          <w:lang w:val="en-US"/>
        </w:rPr>
      </w:pPr>
      <w:r>
        <w:t xml:space="preserve">The BAP mapping configuration function allows the IAB-donor-CU to provide BAP mapping which includes the backhaul routing configuration and/or BH RLC channel mapping information for IAB-donor-DU or IAB-DU. </w:t>
      </w:r>
      <w:r>
        <w:rPr>
          <w:rFonts w:hint="eastAsia"/>
          <w:lang w:eastAsia="zh-CN"/>
        </w:rPr>
        <w:t xml:space="preserve">This function </w:t>
      </w:r>
      <w:r>
        <w:t xml:space="preserve">also </w:t>
      </w:r>
      <w:r>
        <w:rPr>
          <w:lang w:eastAsia="zh-CN"/>
        </w:rPr>
        <w:t>enables</w:t>
      </w:r>
      <w:r>
        <w:t xml:space="preserve"> the IAB-donor-CU</w:t>
      </w:r>
      <w:r>
        <w:rPr>
          <w:rFonts w:hint="eastAsia"/>
          <w:lang w:val="en-US" w:eastAsia="zh-CN"/>
        </w:rPr>
        <w:t xml:space="preserve"> to provide</w:t>
      </w:r>
      <w:r>
        <w:rPr>
          <w:lang w:val="en-US" w:eastAsia="zh-CN"/>
        </w:rPr>
        <w:t xml:space="preserve"> </w:t>
      </w:r>
      <w:ins w:id="2" w:author="author" w:date="2022-05-12T20:43:14Z">
        <w:r>
          <w:rPr>
            <w:rFonts w:hint="eastAsia"/>
            <w:lang w:val="en-US" w:eastAsia="zh-CN"/>
          </w:rPr>
          <w:t>t</w:t>
        </w:r>
      </w:ins>
      <w:ins w:id="3" w:author="author" w:date="2022-05-12T20:43:15Z">
        <w:r>
          <w:rPr>
            <w:rFonts w:hint="eastAsia"/>
            <w:lang w:val="en-US" w:eastAsia="zh-CN"/>
          </w:rPr>
          <w:t xml:space="preserve">he </w:t>
        </w:r>
      </w:ins>
      <w:r>
        <w:rPr>
          <w:lang w:val="en-US" w:eastAsia="zh-CN"/>
        </w:rPr>
        <w:t>BAP</w:t>
      </w:r>
      <w:r>
        <w:rPr>
          <w:rFonts w:hint="eastAsia"/>
          <w:lang w:val="en-US" w:eastAsia="zh-CN"/>
        </w:rPr>
        <w:t xml:space="preserve"> h</w:t>
      </w:r>
      <w:r>
        <w:rPr>
          <w:lang w:eastAsia="zh-CN"/>
        </w:rPr>
        <w:t xml:space="preserve">eader </w:t>
      </w:r>
      <w:r>
        <w:rPr>
          <w:rFonts w:hint="eastAsia"/>
          <w:lang w:val="en-US" w:eastAsia="zh-CN"/>
        </w:rPr>
        <w:t>r</w:t>
      </w:r>
      <w:r>
        <w:rPr>
          <w:lang w:eastAsia="zh-CN"/>
        </w:rPr>
        <w:t xml:space="preserve">ewriting </w:t>
      </w:r>
      <w:r>
        <w:rPr>
          <w:rFonts w:hint="eastAsia"/>
          <w:lang w:val="en-US" w:eastAsia="zh-CN"/>
        </w:rPr>
        <w:t>c</w:t>
      </w:r>
      <w:r>
        <w:rPr>
          <w:lang w:eastAsia="zh-CN"/>
        </w:rPr>
        <w:t>onfiguration</w:t>
      </w:r>
      <w:ins w:id="4" w:author="author" w:date="2022-05-12T20:43:19Z">
        <w:r>
          <w:rPr>
            <w:rFonts w:hint="eastAsia"/>
            <w:lang w:val="en-US" w:eastAsia="zh-CN"/>
          </w:rPr>
          <w:t>, or</w:t>
        </w:r>
      </w:ins>
      <w:ins w:id="5" w:author="author" w:date="2022-05-12T20:43:28Z">
        <w:r>
          <w:rPr>
            <w:rFonts w:hint="eastAsia"/>
            <w:lang w:val="en-US" w:eastAsia="zh-CN"/>
          </w:rPr>
          <w:t xml:space="preserve"> </w:t>
        </w:r>
      </w:ins>
      <w:ins w:id="6" w:author="author" w:date="2022-05-12T20:43:28Z">
        <w:r>
          <w:rPr>
            <w:lang w:eastAsia="zh-CN"/>
          </w:rPr>
          <w:t>other BAP related configurations</w:t>
        </w:r>
      </w:ins>
      <w:ins w:id="7" w:author="author" w:date="2022-05-12T20:43:19Z">
        <w:r>
          <w:rPr>
            <w:rFonts w:hint="eastAsia"/>
            <w:lang w:val="en-US" w:eastAsia="zh-CN"/>
          </w:rPr>
          <w:t xml:space="preserve"> </w:t>
        </w:r>
      </w:ins>
      <w:r>
        <w:t>to the</w:t>
      </w:r>
      <w:r>
        <w:rPr>
          <w:rFonts w:hint="eastAsia"/>
          <w:lang w:val="en-US" w:eastAsia="zh-CN"/>
        </w:rPr>
        <w:t xml:space="preserve"> IAB-DU.</w:t>
      </w:r>
      <w:ins w:id="8" w:author="author" w:date="2022-05-12T20:43:40Z">
        <w:r>
          <w:rPr>
            <w:rFonts w:hint="eastAsia"/>
            <w:lang w:val="en-US" w:eastAsia="zh-CN"/>
          </w:rPr>
          <w:t xml:space="preserve"> This function also enables the </w:t>
        </w:r>
      </w:ins>
      <w:ins w:id="9" w:author="author" w:date="2022-05-12T20:43:40Z">
        <w:r>
          <w:rPr/>
          <w:t>IAB-donor-CU</w:t>
        </w:r>
      </w:ins>
      <w:ins w:id="10" w:author="author" w:date="2022-05-12T20:43:40Z">
        <w:r>
          <w:rPr>
            <w:rFonts w:hint="eastAsia"/>
            <w:lang w:val="en-US" w:eastAsia="zh-CN"/>
          </w:rPr>
          <w:t xml:space="preserve"> to provide the </w:t>
        </w:r>
      </w:ins>
      <w:ins w:id="11" w:author="author" w:date="2022-05-12T20:43:40Z">
        <w:r>
          <w:rPr>
            <w:lang w:eastAsia="zh-CN"/>
          </w:rPr>
          <w:t>BAP related configurations</w:t>
        </w:r>
      </w:ins>
      <w:ins w:id="12" w:author="author" w:date="2022-05-12T20:43:40Z">
        <w:r>
          <w:rPr>
            <w:rFonts w:hint="eastAsia"/>
            <w:lang w:val="en-US" w:eastAsia="zh-CN"/>
          </w:rPr>
          <w:t xml:space="preserve"> to the IAB-donor-DU.</w:t>
        </w:r>
      </w:ins>
    </w:p>
    <w:p>
      <w:r>
        <w:t xml:space="preserve">The </w:t>
      </w:r>
      <w:r>
        <w:rPr>
          <w:lang w:eastAsia="zh-CN"/>
        </w:rPr>
        <w:t>gNB-DU resource configuration</w:t>
      </w:r>
      <w:r>
        <w:t xml:space="preserve"> function is used by the IAB-donor-CU to provide cell resource configuration for an IAB-donor-DU or an IAB-DU, </w:t>
      </w:r>
      <w:r>
        <w:rPr>
          <w:rFonts w:eastAsia="宋体"/>
          <w:lang w:val="en-US" w:eastAsia="zh-CN"/>
        </w:rPr>
        <w:t xml:space="preserve">and/or </w:t>
      </w:r>
      <w:r>
        <w:rPr>
          <w:rFonts w:hint="eastAsia"/>
          <w:lang w:val="en-US" w:eastAsia="zh-CN"/>
        </w:rPr>
        <w:t xml:space="preserve">NA resource configuration of a parent node </w:t>
      </w:r>
      <w:r>
        <w:rPr>
          <w:lang w:val="en-US" w:eastAsia="zh-CN"/>
        </w:rPr>
        <w:t>IAB-DU or IAB-donor-DU</w:t>
      </w:r>
      <w:r>
        <w:rPr>
          <w:rFonts w:hint="eastAsia"/>
          <w:lang w:val="en-US" w:eastAsia="zh-CN"/>
        </w:rPr>
        <w:t xml:space="preserve"> serving</w:t>
      </w:r>
      <w:r>
        <w:rPr>
          <w:rFonts w:eastAsia="宋体"/>
          <w:lang w:val="en-US" w:eastAsia="zh-CN"/>
        </w:rPr>
        <w:t xml:space="preserve"> the </w:t>
      </w:r>
      <w:ins w:id="13" w:author="author" w:date="2022-05-12T20:42:02Z">
        <w:r>
          <w:rPr>
            <w:rFonts w:ascii="Times New Roman" w:hAnsi="Times New Roman" w:eastAsia="宋体" w:cs="Times New Roman"/>
            <w:b w:val="0"/>
            <w:i w:val="0"/>
            <w:caps w:val="0"/>
            <w:spacing w:val="0"/>
            <w:sz w:val="20"/>
            <w:szCs w:val="20"/>
            <w:shd w:val="clear"/>
            <w:lang w:val="en-US" w:eastAsia="zh-CN"/>
          </w:rPr>
          <w:t>co-located</w:t>
        </w:r>
      </w:ins>
      <w:r>
        <w:rPr>
          <w:rFonts w:eastAsia="宋体"/>
          <w:lang w:val="en-US" w:eastAsia="zh-CN"/>
        </w:rPr>
        <w:t xml:space="preserve"> IAB-MT</w:t>
      </w:r>
      <w:r>
        <w:rPr>
          <w:rFonts w:hint="eastAsia"/>
          <w:lang w:val="en-US" w:eastAsia="zh-CN"/>
        </w:rPr>
        <w:t xml:space="preserve"> </w:t>
      </w:r>
      <w:r>
        <w:t xml:space="preserve">for </w:t>
      </w:r>
      <w:del w:id="14" w:author="author" w:date="2022-05-12T20:43:58Z">
        <w:r>
          <w:rPr/>
          <w:delText xml:space="preserve">an IAB-donor-DU or </w:delText>
        </w:r>
      </w:del>
      <w:r>
        <w:t>an IAB-DU</w:t>
      </w:r>
      <w:r>
        <w:rPr>
          <w:rFonts w:eastAsia="宋体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t xml:space="preserve">and/or information about the child node’s cell resource configuration and other periodic configurations to a parent IAB-node or an IAB-donor-DU. </w:t>
      </w:r>
      <w:r>
        <w:rPr>
          <w:rFonts w:eastAsia="宋体"/>
          <w:lang w:val="en-US" w:eastAsia="zh-CN"/>
        </w:rPr>
        <w:t>This function also allows the IAB-donor-CU to provide 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semi-static</w:t>
      </w:r>
      <w:r>
        <w:rPr>
          <w:rFonts w:eastAsia="宋体"/>
          <w:lang w:val="en-US" w:eastAsia="zh-CN"/>
        </w:rPr>
        <w:t xml:space="preserve"> cell resource configuration of a </w:t>
      </w:r>
      <w:r>
        <w:rPr>
          <w:rFonts w:hint="eastAsia"/>
          <w:lang w:val="en-US" w:eastAsia="zh-CN"/>
        </w:rPr>
        <w:t>n</w:t>
      </w:r>
      <w:r>
        <w:rPr>
          <w:rFonts w:eastAsia="宋体"/>
          <w:lang w:val="en-US" w:eastAsia="zh-CN"/>
        </w:rPr>
        <w:t>eighbour</w:t>
      </w:r>
      <w:r>
        <w:rPr>
          <w:rFonts w:hint="eastAsia"/>
          <w:lang w:val="en-US" w:eastAsia="zh-CN"/>
        </w:rPr>
        <w:t xml:space="preserve"> node or a </w:t>
      </w:r>
      <w:r>
        <w:rPr>
          <w:rFonts w:eastAsia="宋体"/>
          <w:lang w:val="en-US" w:eastAsia="zh-CN"/>
        </w:rPr>
        <w:t xml:space="preserve">peer </w:t>
      </w:r>
      <w:r>
        <w:rPr>
          <w:rFonts w:hint="eastAsia" w:eastAsia="宋体"/>
          <w:lang w:val="en-US" w:eastAsia="zh-CN"/>
        </w:rPr>
        <w:t>p</w:t>
      </w:r>
      <w:r>
        <w:rPr>
          <w:rFonts w:eastAsia="宋体"/>
          <w:lang w:val="en-US" w:eastAsia="zh-CN"/>
        </w:rPr>
        <w:t>arent-</w:t>
      </w:r>
      <w:r>
        <w:rPr>
          <w:rFonts w:hint="eastAsia" w:eastAsia="宋体"/>
          <w:lang w:val="en-US" w:eastAsia="zh-CN"/>
        </w:rPr>
        <w:t>n</w:t>
      </w:r>
      <w:r>
        <w:rPr>
          <w:rFonts w:eastAsia="宋体"/>
          <w:lang w:val="en-US" w:eastAsia="zh-CN"/>
        </w:rPr>
        <w:t>ode of a child node</w:t>
      </w:r>
      <w:r>
        <w:rPr>
          <w:lang w:val="en-US" w:eastAsia="zh-CN"/>
        </w:rPr>
        <w:t>, whereas this neighbor node or a peer parent can be</w:t>
      </w:r>
      <w:r>
        <w:rPr>
          <w:rFonts w:eastAsia="宋体"/>
          <w:lang w:val="en-US" w:eastAsia="zh-CN"/>
        </w:rPr>
        <w:t xml:space="preserve"> an IAB-donor-DU or an IAB-DU.</w:t>
      </w:r>
    </w:p>
    <w:p>
      <w:r>
        <w:t>The IAB TNL address configuration function enables the IAB-donor-CU to request IP address(es) to be used for IAB-node(s) from an IAB-donor-DU, or to request from an IAB-donor-DU the removal of IP address(es) used for IAB-node(s).</w:t>
      </w:r>
      <w:r>
        <w:rPr>
          <w:rFonts w:hint="eastAsia"/>
          <w:lang w:val="en-US" w:eastAsia="zh-CN"/>
        </w:rPr>
        <w:t xml:space="preserve"> This function is also used by the IAB-donor-CU to provide an IAB-donor-DU with the IP address information of </w:t>
      </w:r>
      <w:ins w:id="15" w:author="author" w:date="2022-05-12T20:44:18Z">
        <w:r>
          <w:rPr>
            <w:rFonts w:hint="eastAsia"/>
            <w:lang w:val="en-US" w:eastAsia="zh-CN"/>
          </w:rPr>
          <w:t>th</w:t>
        </w:r>
      </w:ins>
      <w:ins w:id="16" w:author="author" w:date="2022-05-12T20:44:19Z">
        <w:r>
          <w:rPr>
            <w:rFonts w:hint="eastAsia"/>
            <w:lang w:val="en-US" w:eastAsia="zh-CN"/>
          </w:rPr>
          <w:t xml:space="preserve">e </w:t>
        </w:r>
      </w:ins>
      <w:r>
        <w:rPr>
          <w:rFonts w:hint="eastAsia"/>
          <w:lang w:val="en-US" w:eastAsia="zh-CN"/>
        </w:rPr>
        <w:t>traffic to be transferred to a peer IAB-donor-DU</w:t>
      </w:r>
      <w:r>
        <w:rPr>
          <w:lang w:val="en-US" w:eastAsia="zh-CN"/>
        </w:rPr>
        <w:t xml:space="preserve"> via an inter-donor-DU tunnel</w:t>
      </w:r>
      <w:r>
        <w:rPr>
          <w:rFonts w:hint="eastAsia"/>
          <w:lang w:val="en-US" w:eastAsia="zh-CN"/>
        </w:rPr>
        <w:t>.</w:t>
      </w:r>
    </w:p>
    <w:p>
      <w:r>
        <w:t>The IAB UP configuration update function allows the update of BH information or the UP TNL information between the IAB-donor-CU and an IAB-DU.</w:t>
      </w:r>
    </w:p>
    <w:p>
      <w:pPr>
        <w:rPr>
          <w:lang w:eastAsia="zh-CN"/>
        </w:rPr>
      </w:pPr>
    </w:p>
    <w:p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15484175"/>
      <w:docPartObj>
        <w:docPartGallery w:val="autotext"/>
      </w:docPartObj>
    </w:sdtPr>
    <w:sdtContent>
      <w:p>
        <w:pPr>
          <w:pStyle w:val="32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3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88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76C76FF2"/>
    <w:multiLevelType w:val="multilevel"/>
    <w:tmpl w:val="76C76FF2"/>
    <w:lvl w:ilvl="0" w:tentative="0">
      <w:start w:val="0"/>
      <w:numFmt w:val="bullet"/>
      <w:lvlText w:val="-"/>
      <w:lvlJc w:val="left"/>
      <w:pPr>
        <w:ind w:left="46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0"/>
  <w:bordersDoNotSurroundFooter w:val="0"/>
  <w:hideSpellingErrors/>
  <w:hideGrammatical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5B3"/>
    <w:rsid w:val="00020B8C"/>
    <w:rsid w:val="00033397"/>
    <w:rsid w:val="00037DC3"/>
    <w:rsid w:val="00040095"/>
    <w:rsid w:val="00041916"/>
    <w:rsid w:val="00041E08"/>
    <w:rsid w:val="00051834"/>
    <w:rsid w:val="00053811"/>
    <w:rsid w:val="00054A22"/>
    <w:rsid w:val="00060D34"/>
    <w:rsid w:val="000626A9"/>
    <w:rsid w:val="000655A6"/>
    <w:rsid w:val="00066F98"/>
    <w:rsid w:val="00080512"/>
    <w:rsid w:val="00087F4B"/>
    <w:rsid w:val="00092A8F"/>
    <w:rsid w:val="0009361A"/>
    <w:rsid w:val="00095EDC"/>
    <w:rsid w:val="000A2FBE"/>
    <w:rsid w:val="000A3133"/>
    <w:rsid w:val="000A54F1"/>
    <w:rsid w:val="000A7D41"/>
    <w:rsid w:val="000B5F3C"/>
    <w:rsid w:val="000B67F5"/>
    <w:rsid w:val="000C0460"/>
    <w:rsid w:val="000D58AB"/>
    <w:rsid w:val="000F28F6"/>
    <w:rsid w:val="000F50A3"/>
    <w:rsid w:val="00101BA1"/>
    <w:rsid w:val="00104D8B"/>
    <w:rsid w:val="001176F2"/>
    <w:rsid w:val="001239FF"/>
    <w:rsid w:val="00125682"/>
    <w:rsid w:val="0013019A"/>
    <w:rsid w:val="00132ECE"/>
    <w:rsid w:val="00135D8D"/>
    <w:rsid w:val="00140443"/>
    <w:rsid w:val="001404A6"/>
    <w:rsid w:val="001515E7"/>
    <w:rsid w:val="00154E56"/>
    <w:rsid w:val="00156559"/>
    <w:rsid w:val="00165922"/>
    <w:rsid w:val="00170643"/>
    <w:rsid w:val="001727DE"/>
    <w:rsid w:val="00172AFC"/>
    <w:rsid w:val="0019740B"/>
    <w:rsid w:val="001D02C2"/>
    <w:rsid w:val="001E6B1E"/>
    <w:rsid w:val="001F168B"/>
    <w:rsid w:val="001F5F30"/>
    <w:rsid w:val="001F66D2"/>
    <w:rsid w:val="0020272E"/>
    <w:rsid w:val="00204877"/>
    <w:rsid w:val="00204F71"/>
    <w:rsid w:val="002108FE"/>
    <w:rsid w:val="002347A2"/>
    <w:rsid w:val="0024060D"/>
    <w:rsid w:val="002473FA"/>
    <w:rsid w:val="00256D78"/>
    <w:rsid w:val="002579A4"/>
    <w:rsid w:val="00261A38"/>
    <w:rsid w:val="00261B3C"/>
    <w:rsid w:val="00266D82"/>
    <w:rsid w:val="00267407"/>
    <w:rsid w:val="00267E0A"/>
    <w:rsid w:val="00284C70"/>
    <w:rsid w:val="00287080"/>
    <w:rsid w:val="00287CD8"/>
    <w:rsid w:val="002A4E22"/>
    <w:rsid w:val="002B4456"/>
    <w:rsid w:val="002D17BE"/>
    <w:rsid w:val="002E7170"/>
    <w:rsid w:val="002E7D1A"/>
    <w:rsid w:val="00300624"/>
    <w:rsid w:val="00305A40"/>
    <w:rsid w:val="003172DC"/>
    <w:rsid w:val="00320D16"/>
    <w:rsid w:val="00322FFB"/>
    <w:rsid w:val="00325D28"/>
    <w:rsid w:val="0032761C"/>
    <w:rsid w:val="00340613"/>
    <w:rsid w:val="00343A20"/>
    <w:rsid w:val="0035462D"/>
    <w:rsid w:val="003616A0"/>
    <w:rsid w:val="00362D03"/>
    <w:rsid w:val="00370468"/>
    <w:rsid w:val="00374AC2"/>
    <w:rsid w:val="003A2690"/>
    <w:rsid w:val="003A6266"/>
    <w:rsid w:val="003B541C"/>
    <w:rsid w:val="003C3971"/>
    <w:rsid w:val="003D1567"/>
    <w:rsid w:val="003E1C99"/>
    <w:rsid w:val="003E32B2"/>
    <w:rsid w:val="003E4250"/>
    <w:rsid w:val="003E789C"/>
    <w:rsid w:val="003F3A36"/>
    <w:rsid w:val="003F74B6"/>
    <w:rsid w:val="00407478"/>
    <w:rsid w:val="00412600"/>
    <w:rsid w:val="0042607C"/>
    <w:rsid w:val="004340F7"/>
    <w:rsid w:val="00435C70"/>
    <w:rsid w:val="00436DCD"/>
    <w:rsid w:val="00445BB6"/>
    <w:rsid w:val="00447158"/>
    <w:rsid w:val="00461FB1"/>
    <w:rsid w:val="00462F9B"/>
    <w:rsid w:val="00464908"/>
    <w:rsid w:val="00467232"/>
    <w:rsid w:val="00473A65"/>
    <w:rsid w:val="00484C98"/>
    <w:rsid w:val="00487536"/>
    <w:rsid w:val="004A7B5E"/>
    <w:rsid w:val="004B43BB"/>
    <w:rsid w:val="004D3578"/>
    <w:rsid w:val="004D4D8E"/>
    <w:rsid w:val="004E213A"/>
    <w:rsid w:val="004E4402"/>
    <w:rsid w:val="004F5931"/>
    <w:rsid w:val="00510F08"/>
    <w:rsid w:val="00512422"/>
    <w:rsid w:val="0051777F"/>
    <w:rsid w:val="00543E6C"/>
    <w:rsid w:val="00565087"/>
    <w:rsid w:val="00574CF9"/>
    <w:rsid w:val="00580150"/>
    <w:rsid w:val="005826AD"/>
    <w:rsid w:val="00590851"/>
    <w:rsid w:val="005A2B47"/>
    <w:rsid w:val="005C0014"/>
    <w:rsid w:val="005C093E"/>
    <w:rsid w:val="005C3BDF"/>
    <w:rsid w:val="005C430C"/>
    <w:rsid w:val="005D2E01"/>
    <w:rsid w:val="005E5E3B"/>
    <w:rsid w:val="005F7B53"/>
    <w:rsid w:val="0060529F"/>
    <w:rsid w:val="0061096E"/>
    <w:rsid w:val="00614FDF"/>
    <w:rsid w:val="00622596"/>
    <w:rsid w:val="006442BF"/>
    <w:rsid w:val="00647F5A"/>
    <w:rsid w:val="00657C4F"/>
    <w:rsid w:val="00682550"/>
    <w:rsid w:val="00686269"/>
    <w:rsid w:val="00692564"/>
    <w:rsid w:val="006A5CAF"/>
    <w:rsid w:val="006A634B"/>
    <w:rsid w:val="006C23AD"/>
    <w:rsid w:val="006F4BBD"/>
    <w:rsid w:val="006F5301"/>
    <w:rsid w:val="00702051"/>
    <w:rsid w:val="007157EF"/>
    <w:rsid w:val="00726DB6"/>
    <w:rsid w:val="00734A5B"/>
    <w:rsid w:val="007431DB"/>
    <w:rsid w:val="00744E76"/>
    <w:rsid w:val="007532D2"/>
    <w:rsid w:val="00763604"/>
    <w:rsid w:val="00770F32"/>
    <w:rsid w:val="00781428"/>
    <w:rsid w:val="00781F0F"/>
    <w:rsid w:val="00783A49"/>
    <w:rsid w:val="007A2376"/>
    <w:rsid w:val="007B10BE"/>
    <w:rsid w:val="007B16A7"/>
    <w:rsid w:val="007B1868"/>
    <w:rsid w:val="007B2625"/>
    <w:rsid w:val="007B3951"/>
    <w:rsid w:val="007C3804"/>
    <w:rsid w:val="007C4B99"/>
    <w:rsid w:val="007D0AF2"/>
    <w:rsid w:val="007E1F5E"/>
    <w:rsid w:val="007E3A96"/>
    <w:rsid w:val="007E5F1D"/>
    <w:rsid w:val="007E7064"/>
    <w:rsid w:val="007E76AB"/>
    <w:rsid w:val="007F0BBB"/>
    <w:rsid w:val="007F5361"/>
    <w:rsid w:val="008028A4"/>
    <w:rsid w:val="008142E5"/>
    <w:rsid w:val="008155D3"/>
    <w:rsid w:val="0081659D"/>
    <w:rsid w:val="0082183D"/>
    <w:rsid w:val="008228AD"/>
    <w:rsid w:val="008317DA"/>
    <w:rsid w:val="00837CAC"/>
    <w:rsid w:val="00842FB0"/>
    <w:rsid w:val="00844C49"/>
    <w:rsid w:val="008519C5"/>
    <w:rsid w:val="00862D11"/>
    <w:rsid w:val="00872A74"/>
    <w:rsid w:val="0087585E"/>
    <w:rsid w:val="008768CA"/>
    <w:rsid w:val="00883E8E"/>
    <w:rsid w:val="0088457E"/>
    <w:rsid w:val="00891490"/>
    <w:rsid w:val="008A19AB"/>
    <w:rsid w:val="008B6A20"/>
    <w:rsid w:val="008C4E09"/>
    <w:rsid w:val="008C6522"/>
    <w:rsid w:val="008D0EA3"/>
    <w:rsid w:val="008D1C75"/>
    <w:rsid w:val="008D78A3"/>
    <w:rsid w:val="008F0116"/>
    <w:rsid w:val="008F0983"/>
    <w:rsid w:val="00900CC6"/>
    <w:rsid w:val="0090271F"/>
    <w:rsid w:val="00902E23"/>
    <w:rsid w:val="00905EF3"/>
    <w:rsid w:val="00906E71"/>
    <w:rsid w:val="0091348E"/>
    <w:rsid w:val="0092397C"/>
    <w:rsid w:val="00937A08"/>
    <w:rsid w:val="00942BD7"/>
    <w:rsid w:val="00942EC2"/>
    <w:rsid w:val="00946E34"/>
    <w:rsid w:val="009517F6"/>
    <w:rsid w:val="00957C10"/>
    <w:rsid w:val="009744F4"/>
    <w:rsid w:val="00974EB5"/>
    <w:rsid w:val="009822C5"/>
    <w:rsid w:val="00983B6F"/>
    <w:rsid w:val="00995BD0"/>
    <w:rsid w:val="009A2783"/>
    <w:rsid w:val="009A4BEB"/>
    <w:rsid w:val="009B70C8"/>
    <w:rsid w:val="009C2FCD"/>
    <w:rsid w:val="009D0EA3"/>
    <w:rsid w:val="009D4C06"/>
    <w:rsid w:val="009E5E3E"/>
    <w:rsid w:val="009E6DFC"/>
    <w:rsid w:val="009F37B7"/>
    <w:rsid w:val="009F6251"/>
    <w:rsid w:val="009F74EC"/>
    <w:rsid w:val="009F7B89"/>
    <w:rsid w:val="00A0693A"/>
    <w:rsid w:val="00A06D45"/>
    <w:rsid w:val="00A10202"/>
    <w:rsid w:val="00A10F02"/>
    <w:rsid w:val="00A1419C"/>
    <w:rsid w:val="00A164B4"/>
    <w:rsid w:val="00A36907"/>
    <w:rsid w:val="00A41733"/>
    <w:rsid w:val="00A42A77"/>
    <w:rsid w:val="00A511F2"/>
    <w:rsid w:val="00A53724"/>
    <w:rsid w:val="00A5787E"/>
    <w:rsid w:val="00A71AF4"/>
    <w:rsid w:val="00A720E0"/>
    <w:rsid w:val="00A7391A"/>
    <w:rsid w:val="00A82346"/>
    <w:rsid w:val="00A83D0F"/>
    <w:rsid w:val="00A86A47"/>
    <w:rsid w:val="00A86FCA"/>
    <w:rsid w:val="00A907BC"/>
    <w:rsid w:val="00AA545E"/>
    <w:rsid w:val="00AA758F"/>
    <w:rsid w:val="00AB0573"/>
    <w:rsid w:val="00AB7A94"/>
    <w:rsid w:val="00AC7025"/>
    <w:rsid w:val="00AD7E83"/>
    <w:rsid w:val="00AE0BA6"/>
    <w:rsid w:val="00AE2999"/>
    <w:rsid w:val="00AE2AC1"/>
    <w:rsid w:val="00AE386E"/>
    <w:rsid w:val="00AE38B2"/>
    <w:rsid w:val="00AE4DCD"/>
    <w:rsid w:val="00AF7952"/>
    <w:rsid w:val="00B15449"/>
    <w:rsid w:val="00B34FA8"/>
    <w:rsid w:val="00B363B7"/>
    <w:rsid w:val="00B46CE6"/>
    <w:rsid w:val="00B53268"/>
    <w:rsid w:val="00B6324E"/>
    <w:rsid w:val="00B64ABF"/>
    <w:rsid w:val="00B7115D"/>
    <w:rsid w:val="00B721B9"/>
    <w:rsid w:val="00B835F2"/>
    <w:rsid w:val="00B92B56"/>
    <w:rsid w:val="00BB459B"/>
    <w:rsid w:val="00BC0F7D"/>
    <w:rsid w:val="00BE6AD2"/>
    <w:rsid w:val="00BF6A93"/>
    <w:rsid w:val="00C047E5"/>
    <w:rsid w:val="00C072B7"/>
    <w:rsid w:val="00C11EB2"/>
    <w:rsid w:val="00C14105"/>
    <w:rsid w:val="00C30150"/>
    <w:rsid w:val="00C33079"/>
    <w:rsid w:val="00C41D31"/>
    <w:rsid w:val="00C45231"/>
    <w:rsid w:val="00C524AA"/>
    <w:rsid w:val="00C60EDD"/>
    <w:rsid w:val="00C70E54"/>
    <w:rsid w:val="00C72833"/>
    <w:rsid w:val="00C82F8B"/>
    <w:rsid w:val="00C83162"/>
    <w:rsid w:val="00C90E5E"/>
    <w:rsid w:val="00C93034"/>
    <w:rsid w:val="00C93F40"/>
    <w:rsid w:val="00CA3D0C"/>
    <w:rsid w:val="00CB0D66"/>
    <w:rsid w:val="00CE2E38"/>
    <w:rsid w:val="00CE47B7"/>
    <w:rsid w:val="00CE7546"/>
    <w:rsid w:val="00CF06E0"/>
    <w:rsid w:val="00CF09B4"/>
    <w:rsid w:val="00D06304"/>
    <w:rsid w:val="00D10E0F"/>
    <w:rsid w:val="00D1773B"/>
    <w:rsid w:val="00D225CB"/>
    <w:rsid w:val="00D326E5"/>
    <w:rsid w:val="00D424EC"/>
    <w:rsid w:val="00D722CB"/>
    <w:rsid w:val="00D738D6"/>
    <w:rsid w:val="00D755EB"/>
    <w:rsid w:val="00D87E00"/>
    <w:rsid w:val="00D9134D"/>
    <w:rsid w:val="00DA4693"/>
    <w:rsid w:val="00DA7A03"/>
    <w:rsid w:val="00DB1818"/>
    <w:rsid w:val="00DC309B"/>
    <w:rsid w:val="00DC38AE"/>
    <w:rsid w:val="00DC4DA2"/>
    <w:rsid w:val="00DC7691"/>
    <w:rsid w:val="00DE1A0D"/>
    <w:rsid w:val="00DE5B8C"/>
    <w:rsid w:val="00DF2B1F"/>
    <w:rsid w:val="00DF62CD"/>
    <w:rsid w:val="00DF6553"/>
    <w:rsid w:val="00DF6D96"/>
    <w:rsid w:val="00E10743"/>
    <w:rsid w:val="00E11013"/>
    <w:rsid w:val="00E14F5F"/>
    <w:rsid w:val="00E16505"/>
    <w:rsid w:val="00E23F45"/>
    <w:rsid w:val="00E325D5"/>
    <w:rsid w:val="00E44347"/>
    <w:rsid w:val="00E45F3D"/>
    <w:rsid w:val="00E55067"/>
    <w:rsid w:val="00E62769"/>
    <w:rsid w:val="00E63043"/>
    <w:rsid w:val="00E63DF9"/>
    <w:rsid w:val="00E67BA4"/>
    <w:rsid w:val="00E75520"/>
    <w:rsid w:val="00E76CF8"/>
    <w:rsid w:val="00E77645"/>
    <w:rsid w:val="00E845C3"/>
    <w:rsid w:val="00E9130F"/>
    <w:rsid w:val="00E92213"/>
    <w:rsid w:val="00EC290B"/>
    <w:rsid w:val="00EC4A25"/>
    <w:rsid w:val="00ED31D9"/>
    <w:rsid w:val="00ED64BA"/>
    <w:rsid w:val="00ED6E93"/>
    <w:rsid w:val="00ED72D8"/>
    <w:rsid w:val="00EE2528"/>
    <w:rsid w:val="00F01387"/>
    <w:rsid w:val="00F0238E"/>
    <w:rsid w:val="00F025A2"/>
    <w:rsid w:val="00F04712"/>
    <w:rsid w:val="00F22EC7"/>
    <w:rsid w:val="00F27C28"/>
    <w:rsid w:val="00F322B9"/>
    <w:rsid w:val="00F327CF"/>
    <w:rsid w:val="00F353B2"/>
    <w:rsid w:val="00F45625"/>
    <w:rsid w:val="00F50D59"/>
    <w:rsid w:val="00F57FFB"/>
    <w:rsid w:val="00F653B8"/>
    <w:rsid w:val="00F66753"/>
    <w:rsid w:val="00F751BB"/>
    <w:rsid w:val="00F82F11"/>
    <w:rsid w:val="00F940D4"/>
    <w:rsid w:val="00F978BC"/>
    <w:rsid w:val="00FA1266"/>
    <w:rsid w:val="00FB2D57"/>
    <w:rsid w:val="00FB5826"/>
    <w:rsid w:val="00FC1192"/>
    <w:rsid w:val="00FD3970"/>
    <w:rsid w:val="00FD4C02"/>
    <w:rsid w:val="00FE0010"/>
    <w:rsid w:val="00FE3E0B"/>
    <w:rsid w:val="00FF6B86"/>
    <w:rsid w:val="1F913F09"/>
    <w:rsid w:val="24E54592"/>
    <w:rsid w:val="2B3D0361"/>
    <w:rsid w:val="3A7A4482"/>
    <w:rsid w:val="3C123405"/>
    <w:rsid w:val="55A24F93"/>
    <w:rsid w:val="583D2CD5"/>
    <w:rsid w:val="746C40B1"/>
    <w:rsid w:val="7ED03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semiHidden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2">
    <w:name w:val="heading 1"/>
    <w:next w:val="1"/>
    <w:link w:val="8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3">
    <w:name w:val="heading 2"/>
    <w:basedOn w:val="2"/>
    <w:next w:val="1"/>
    <w:link w:val="9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84"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46"/>
    <w:qFormat/>
    <w:uiPriority w:val="0"/>
    <w:pPr>
      <w:spacing w:after="0"/>
    </w:pPr>
    <w:rPr>
      <w:sz w:val="18"/>
      <w:szCs w:val="18"/>
    </w:rPr>
  </w:style>
  <w:style w:type="paragraph" w:styleId="32">
    <w:name w:val="footer"/>
    <w:basedOn w:val="33"/>
    <w:link w:val="97"/>
    <w:qFormat/>
    <w:uiPriority w:val="99"/>
    <w:pPr>
      <w:jc w:val="center"/>
    </w:pPr>
    <w:rPr>
      <w:i/>
    </w:rPr>
  </w:style>
  <w:style w:type="paragraph" w:styleId="33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34">
    <w:name w:val="footnote text"/>
    <w:basedOn w:val="1"/>
    <w:link w:val="82"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qFormat/>
    <w:uiPriority w:val="0"/>
    <w:pPr>
      <w:keepLines/>
      <w:spacing w:after="0"/>
    </w:pPr>
  </w:style>
  <w:style w:type="paragraph" w:styleId="39">
    <w:name w:val="index 2"/>
    <w:basedOn w:val="38"/>
    <w:next w:val="1"/>
    <w:qFormat/>
    <w:uiPriority w:val="0"/>
    <w:pPr>
      <w:ind w:left="284"/>
    </w:pPr>
  </w:style>
  <w:style w:type="paragraph" w:styleId="40">
    <w:name w:val="annotation subject"/>
    <w:basedOn w:val="28"/>
    <w:next w:val="28"/>
    <w:link w:val="85"/>
    <w:qFormat/>
    <w:uiPriority w:val="0"/>
    <w:rPr>
      <w:b/>
      <w:bCs/>
    </w:rPr>
  </w:style>
  <w:style w:type="character" w:styleId="43">
    <w:name w:val="Hyperlink"/>
    <w:unhideWhenUsed/>
    <w:qFormat/>
    <w:uiPriority w:val="0"/>
    <w:rPr>
      <w:color w:val="464E90"/>
      <w:u w:val="none"/>
    </w:rPr>
  </w:style>
  <w:style w:type="character" w:styleId="44">
    <w:name w:val="annotation reference"/>
    <w:qFormat/>
    <w:uiPriority w:val="0"/>
    <w:rPr>
      <w:sz w:val="16"/>
      <w:szCs w:val="16"/>
    </w:rPr>
  </w:style>
  <w:style w:type="character" w:styleId="45">
    <w:name w:val="footnote reference"/>
    <w:qFormat/>
    <w:uiPriority w:val="0"/>
    <w:rPr>
      <w:b/>
      <w:position w:val="6"/>
      <w:sz w:val="16"/>
    </w:rPr>
  </w:style>
  <w:style w:type="character" w:customStyle="1" w:styleId="46">
    <w:name w:val="批注框文本 字符"/>
    <w:link w:val="31"/>
    <w:qFormat/>
    <w:uiPriority w:val="0"/>
    <w:rPr>
      <w:sz w:val="18"/>
      <w:szCs w:val="18"/>
      <w:lang w:val="en-GB" w:eastAsia="en-US"/>
    </w:rPr>
  </w:style>
  <w:style w:type="paragraph" w:customStyle="1" w:styleId="4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48">
    <w:name w:val="ZGSM"/>
    <w:qFormat/>
    <w:uiPriority w:val="0"/>
  </w:style>
  <w:style w:type="paragraph" w:customStyle="1" w:styleId="4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NF"/>
    <w:basedOn w:val="5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2">
    <w:name w:val="NO"/>
    <w:basedOn w:val="1"/>
    <w:qFormat/>
    <w:uiPriority w:val="0"/>
    <w:pPr>
      <w:keepLines/>
      <w:ind w:left="1135" w:hanging="851"/>
    </w:pPr>
  </w:style>
  <w:style w:type="paragraph" w:customStyle="1" w:styleId="5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54">
    <w:name w:val="TAR"/>
    <w:basedOn w:val="55"/>
    <w:qFormat/>
    <w:uiPriority w:val="0"/>
    <w:pPr>
      <w:jc w:val="right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5"/>
    <w:qFormat/>
    <w:uiPriority w:val="0"/>
    <w:pPr>
      <w:jc w:val="center"/>
    </w:pPr>
  </w:style>
  <w:style w:type="paragraph" w:customStyle="1" w:styleId="5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2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B1"/>
    <w:basedOn w:val="14"/>
    <w:link w:val="91"/>
    <w:qFormat/>
    <w:uiPriority w:val="0"/>
  </w:style>
  <w:style w:type="paragraph" w:customStyle="1" w:styleId="64">
    <w:name w:val="Editor's Note"/>
    <w:basedOn w:val="52"/>
    <w:qFormat/>
    <w:uiPriority w:val="0"/>
    <w:rPr>
      <w:color w:val="FF0000"/>
    </w:r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6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70">
    <w:name w:val="TAN"/>
    <w:basedOn w:val="55"/>
    <w:qFormat/>
    <w:uiPriority w:val="0"/>
    <w:pPr>
      <w:ind w:left="851" w:hanging="851"/>
    </w:pPr>
  </w:style>
  <w:style w:type="paragraph" w:customStyle="1" w:styleId="7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72">
    <w:name w:val="TF"/>
    <w:basedOn w:val="65"/>
    <w:qFormat/>
    <w:uiPriority w:val="0"/>
    <w:pPr>
      <w:keepNext w:val="0"/>
      <w:spacing w:before="0" w:after="240"/>
    </w:pPr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74">
    <w:name w:val="B2"/>
    <w:basedOn w:val="13"/>
    <w:qFormat/>
    <w:uiPriority w:val="0"/>
  </w:style>
  <w:style w:type="paragraph" w:customStyle="1" w:styleId="75">
    <w:name w:val="B3"/>
    <w:basedOn w:val="12"/>
    <w:qFormat/>
    <w:uiPriority w:val="0"/>
  </w:style>
  <w:style w:type="paragraph" w:customStyle="1" w:styleId="76">
    <w:name w:val="B4"/>
    <w:basedOn w:val="36"/>
    <w:qFormat/>
    <w:uiPriority w:val="0"/>
  </w:style>
  <w:style w:type="paragraph" w:customStyle="1" w:styleId="77">
    <w:name w:val="B5"/>
    <w:basedOn w:val="35"/>
    <w:qFormat/>
    <w:uiPriority w:val="0"/>
  </w:style>
  <w:style w:type="paragraph" w:customStyle="1" w:styleId="78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79">
    <w:name w:val="ZV"/>
    <w:basedOn w:val="69"/>
    <w:qFormat/>
    <w:uiPriority w:val="0"/>
    <w:pPr>
      <w:framePr w:y="16161"/>
    </w:pPr>
  </w:style>
  <w:style w:type="character" w:customStyle="1" w:styleId="80">
    <w:name w:val="标题 3 字符"/>
    <w:link w:val="4"/>
    <w:qFormat/>
    <w:uiPriority w:val="0"/>
    <w:rPr>
      <w:rFonts w:ascii="Arial" w:hAnsi="Arial" w:eastAsia="Times New Roman"/>
      <w:sz w:val="28"/>
    </w:rPr>
  </w:style>
  <w:style w:type="character" w:customStyle="1" w:styleId="81">
    <w:name w:val="标题 1 字符"/>
    <w:link w:val="2"/>
    <w:qFormat/>
    <w:uiPriority w:val="0"/>
    <w:rPr>
      <w:rFonts w:ascii="Arial" w:hAnsi="Arial" w:eastAsia="Times New Roman"/>
      <w:sz w:val="36"/>
    </w:rPr>
  </w:style>
  <w:style w:type="character" w:customStyle="1" w:styleId="82">
    <w:name w:val="脚注文本 字符"/>
    <w:link w:val="34"/>
    <w:qFormat/>
    <w:uiPriority w:val="0"/>
    <w:rPr>
      <w:rFonts w:eastAsia="Times New Roman"/>
      <w:sz w:val="16"/>
    </w:rPr>
  </w:style>
  <w:style w:type="paragraph" w:customStyle="1" w:styleId="83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4">
    <w:name w:val="批注文字 字符"/>
    <w:link w:val="28"/>
    <w:qFormat/>
    <w:uiPriority w:val="0"/>
    <w:rPr>
      <w:rFonts w:eastAsia="Times New Roman"/>
      <w:lang w:eastAsia="en-US"/>
    </w:rPr>
  </w:style>
  <w:style w:type="character" w:customStyle="1" w:styleId="85">
    <w:name w:val="批注主题 字符"/>
    <w:link w:val="40"/>
    <w:qFormat/>
    <w:uiPriority w:val="0"/>
    <w:rPr>
      <w:rFonts w:eastAsia="Times New Roman"/>
      <w:b/>
      <w:bCs/>
      <w:lang w:eastAsia="en-US"/>
    </w:rPr>
  </w:style>
  <w:style w:type="paragraph" w:styleId="86">
    <w:name w:val="List Paragraph"/>
    <w:basedOn w:val="1"/>
    <w:link w:val="87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/>
      <w:sz w:val="22"/>
      <w:szCs w:val="22"/>
    </w:rPr>
  </w:style>
  <w:style w:type="character" w:customStyle="1" w:styleId="87">
    <w:name w:val="列表段落 字符"/>
    <w:link w:val="86"/>
    <w:qFormat/>
    <w:locked/>
    <w:uiPriority w:val="34"/>
    <w:rPr>
      <w:rFonts w:ascii="Calibri" w:hAnsi="Calibri" w:eastAsia="Calibri"/>
      <w:sz w:val="22"/>
      <w:szCs w:val="22"/>
      <w:lang w:eastAsia="en-US"/>
    </w:rPr>
  </w:style>
  <w:style w:type="paragraph" w:customStyle="1" w:styleId="88">
    <w:name w:val="B1+"/>
    <w:basedOn w:val="63"/>
    <w:link w:val="89"/>
    <w:qFormat/>
    <w:uiPriority w:val="0"/>
    <w:pPr>
      <w:numPr>
        <w:ilvl w:val="0"/>
        <w:numId w:val="1"/>
      </w:numPr>
    </w:pPr>
  </w:style>
  <w:style w:type="character" w:customStyle="1" w:styleId="89">
    <w:name w:val="B1+ Car"/>
    <w:link w:val="88"/>
    <w:qFormat/>
    <w:uiPriority w:val="0"/>
    <w:rPr>
      <w:rFonts w:eastAsia="Times New Roman"/>
      <w:lang w:eastAsia="en-US"/>
    </w:rPr>
  </w:style>
  <w:style w:type="paragraph" w:customStyle="1" w:styleId="9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91">
    <w:name w:val="B1 Char"/>
    <w:link w:val="63"/>
    <w:qFormat/>
    <w:locked/>
    <w:uiPriority w:val="0"/>
    <w:rPr>
      <w:rFonts w:eastAsia="Times New Roman"/>
    </w:rPr>
  </w:style>
  <w:style w:type="character" w:customStyle="1" w:styleId="92">
    <w:name w:val="B1 Zchn"/>
    <w:qFormat/>
    <w:uiPriority w:val="0"/>
    <w:rPr>
      <w:rFonts w:eastAsia="Times New Roman"/>
    </w:rPr>
  </w:style>
  <w:style w:type="character" w:customStyle="1" w:styleId="93">
    <w:name w:val="标题 2 字符"/>
    <w:link w:val="3"/>
    <w:qFormat/>
    <w:uiPriority w:val="0"/>
    <w:rPr>
      <w:rFonts w:ascii="Arial" w:hAnsi="Arial" w:eastAsia="Times New Roman"/>
      <w:sz w:val="32"/>
    </w:rPr>
  </w:style>
  <w:style w:type="character" w:customStyle="1" w:styleId="94">
    <w:name w:val="B1 Char1"/>
    <w:qFormat/>
    <w:uiPriority w:val="0"/>
    <w:rPr>
      <w:rFonts w:eastAsia="宋体"/>
      <w:lang w:val="en-GB" w:eastAsia="en-US" w:bidi="ar-SA"/>
    </w:rPr>
  </w:style>
  <w:style w:type="character" w:customStyle="1" w:styleId="95">
    <w:name w:val="CR Cover Page Zchn"/>
    <w:link w:val="96"/>
    <w:qFormat/>
    <w:locked/>
    <w:uiPriority w:val="0"/>
    <w:rPr>
      <w:rFonts w:ascii="Arial" w:hAnsi="Arial" w:cs="Arial"/>
      <w:lang w:val="en-GB" w:eastAsia="en-US"/>
    </w:rPr>
  </w:style>
  <w:style w:type="paragraph" w:customStyle="1" w:styleId="96">
    <w:name w:val="CR Cover Page"/>
    <w:link w:val="95"/>
    <w:qFormat/>
    <w:uiPriority w:val="0"/>
    <w:pPr>
      <w:spacing w:after="120"/>
    </w:pPr>
    <w:rPr>
      <w:rFonts w:ascii="Arial" w:hAnsi="Arial" w:eastAsia="宋体" w:cs="Arial"/>
      <w:lang w:val="en-GB" w:eastAsia="en-US" w:bidi="ar-SA"/>
    </w:rPr>
  </w:style>
  <w:style w:type="character" w:customStyle="1" w:styleId="97">
    <w:name w:val="页脚 字符"/>
    <w:basedOn w:val="42"/>
    <w:link w:val="32"/>
    <w:qFormat/>
    <w:uiPriority w:val="99"/>
    <w:rPr>
      <w:rFonts w:ascii="Arial" w:hAnsi="Arial" w:eastAsia="Times New Roman"/>
      <w:b/>
      <w:i/>
      <w:sz w:val="18"/>
      <w:lang w:val="en-GB" w:eastAsia="ko-KR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roo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6E9E0C-D77D-4003-97E7-D08654EA7732}">
  <ds:schemaRefs/>
</ds:datastoreItem>
</file>

<file path=customXml/itemProps3.xml><?xml version="1.0" encoding="utf-8"?>
<ds:datastoreItem xmlns:ds="http://schemas.openxmlformats.org/officeDocument/2006/customXml" ds:itemID="{F7AE6B19-DD1B-432B-BC4D-386375860F6A}">
  <ds:schemaRefs/>
</ds:datastoreItem>
</file>

<file path=customXml/itemProps4.xml><?xml version="1.0" encoding="utf-8"?>
<ds:datastoreItem xmlns:ds="http://schemas.openxmlformats.org/officeDocument/2006/customXml" ds:itemID="{9E635491-FA42-4C6D-B575-074ECA996167}">
  <ds:schemaRefs/>
</ds:datastoreItem>
</file>

<file path=customXml/itemProps5.xml><?xml version="1.0" encoding="utf-8"?>
<ds:datastoreItem xmlns:ds="http://schemas.openxmlformats.org/officeDocument/2006/customXml" ds:itemID="{13012277-2A0A-495D-9339-126D0B8A66E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2</Pages>
  <Words>601</Words>
  <Characters>3426</Characters>
  <Lines>28</Lines>
  <Paragraphs>8</Paragraphs>
  <TotalTime>3</TotalTime>
  <ScaleCrop>false</ScaleCrop>
  <LinksUpToDate>false</LinksUpToDate>
  <CharactersWithSpaces>4019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2022-05-09T15:02:00Z</dcterms:created>
  <dc:creator>MCC Support</dc:creator>
  <cp:keywords>NR-RAN</cp:keywords>
  <cp:lastModifiedBy>author</cp:lastModifiedBy>
  <dcterms:modified xsi:type="dcterms:W3CDTF">2022-05-12T12:50:04Z</dcterms:modified>
  <dc:subject>NG-RAN; F1 general aspects and principles (Release 16)</dc:subject>
  <dc:title>3GPP TS 38.470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(3)kNlugXQOihPd1AgLasUjwq7Nk5LbZDfbpB0hb9ZySFkW9ylimz7S2CuTzwLS2g22Q2uK+j5G
ut6P4x6UrNo+mNtppodXlpWwPic3bToQlVqca7nISlQmWDLh7uf6bAvZgktioOG4hIRF2vjh
w35l22Qf7a6QmGH2Y+vX6s73fJ9Ksxo22UNPi5gmloJg8/rBY6yywQahXFLuZYWPkgmQ0kzw
UmFmP0MFd3byA7Zb5f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f1FyUnD0/34VnfDxN0/tY6dqOqz1YAZMPKRYNvOt5bi22oqPYx8zQr
qqLUdhBdP3llcky8xNlseeUIxntmZHE3O832Dd9+6tbup4h6iE6mABFO6/S0nIJnLfOIKMrC
e6pAo1vNnCVSdMVhTe9UptVf6nxtAS6pZmB8EMg6bo5/p2lY8Iq6VljoLrcsul64LOH6iH5e
zjd+L5/oIsZZeWE+glhzTwpw2IRtU5bcfFsq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thjVwRSqX6S4GuqajJ5uVgw=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1512630568</vt:lpwstr>
  </property>
  <property fmtid="{D5CDD505-2E9C-101B-9397-08002B2CF9AE}" pid="11" name="MCCCRsImpl0">
    <vt:lpwstr>38.470%Rel-16%-%38.470%Rel-16%-%38.470%Rel-16%-%38.470%Rel-16%-%38.470%Rel-16%%38.470%Rel-16%%38.470%Rel-16%%38.470%Rel-16%%38.470%Rel-16%0002%38.470%Rel-16%0006%38.470%Rel-16%0007%38.470%Rel-16%0003%38.470%Rel-16%0008%38.470%Rel-16%0010%38.470%Rel-16%001</vt:lpwstr>
  </property>
  <property fmtid="{D5CDD505-2E9C-101B-9397-08002B2CF9AE}" pid="12" name="MCCCRsImpl1">
    <vt:lpwstr>%Rel-16%0059%38.470%Rel-16%0063%38.470%Rel-16%0064%38.470%Rel-16%0065%38.470%Rel-16%0067%38.470%Rel-16%0068%38.470%Rel-16%0061%38.470%Rel-16%0069%38.470%Rel-16%0070%</vt:lpwstr>
  </property>
  <property fmtid="{D5CDD505-2E9C-101B-9397-08002B2CF9AE}" pid="13" name="ContentTypeId">
    <vt:lpwstr>0x010100F3E9551B3FDDA24EBF0A209BAAD637CA</vt:lpwstr>
  </property>
  <property fmtid="{D5CDD505-2E9C-101B-9397-08002B2CF9AE}" pid="14" name="KSOProductBuildVer">
    <vt:lpwstr>2052-11.8.2.9022</vt:lpwstr>
  </property>
</Properties>
</file>